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RPr="009746F8" w:rsidP="00A449DA" w14:paraId="51794A00" w14:textId="15DD9CE4">
      <w:pPr>
        <w:ind w:firstLine="0"/>
        <w:rPr>
          <w:rFonts w:cstheme="minorHAnsi"/>
          <w:sz w:val="24"/>
          <w:szCs w:val="24"/>
        </w:rPr>
      </w:pPr>
    </w:p>
    <w:p w:rsidR="00A449DA" w:rsidRPr="009746F8" w:rsidP="00A449DA" w14:paraId="71D8A041" w14:textId="1E88DE1E">
      <w:pPr>
        <w:ind w:firstLine="0"/>
        <w:rPr>
          <w:rFonts w:cstheme="minorHAnsi"/>
          <w:sz w:val="24"/>
          <w:szCs w:val="24"/>
        </w:rPr>
      </w:pPr>
    </w:p>
    <w:p w:rsidR="00A449DA" w:rsidRPr="009746F8" w:rsidP="00A449DA" w14:paraId="03BDEC29" w14:textId="28198A68">
      <w:pPr>
        <w:ind w:firstLine="0"/>
        <w:rPr>
          <w:rFonts w:cstheme="minorHAnsi"/>
          <w:sz w:val="24"/>
          <w:szCs w:val="24"/>
        </w:rPr>
      </w:pPr>
    </w:p>
    <w:p w:rsidR="00A449DA" w:rsidRPr="009746F8" w:rsidP="00A449DA" w14:paraId="76DF8362" w14:textId="77C02B01">
      <w:pPr>
        <w:ind w:firstLine="0"/>
        <w:rPr>
          <w:rFonts w:cstheme="minorHAnsi"/>
          <w:sz w:val="24"/>
          <w:szCs w:val="24"/>
        </w:rPr>
      </w:pPr>
    </w:p>
    <w:p w:rsidR="00A449DA" w:rsidRPr="009746F8" w:rsidP="009746F8" w14:paraId="223EAE7D" w14:textId="7357EE90">
      <w:pPr>
        <w:ind w:firstLine="0"/>
        <w:jc w:val="center"/>
        <w:rPr>
          <w:rFonts w:cstheme="minorHAnsi"/>
          <w:sz w:val="24"/>
          <w:szCs w:val="24"/>
        </w:rPr>
      </w:pPr>
      <w:r w:rsidRPr="009746F8">
        <w:rPr>
          <w:rFonts w:cstheme="minorHAnsi"/>
          <w:sz w:val="24"/>
          <w:szCs w:val="24"/>
        </w:rPr>
        <w:t>Public Health</w:t>
      </w:r>
    </w:p>
    <w:p w:rsidR="00A449DA" w:rsidRPr="009746F8" w:rsidP="00A449DA" w14:paraId="0F68031A" w14:textId="244BA86E">
      <w:pPr>
        <w:ind w:firstLine="0"/>
        <w:jc w:val="center"/>
        <w:rPr>
          <w:rFonts w:cstheme="minorHAnsi"/>
          <w:sz w:val="24"/>
          <w:szCs w:val="24"/>
        </w:rPr>
      </w:pPr>
    </w:p>
    <w:p w:rsidR="00A449DA" w:rsidRPr="009746F8" w:rsidP="00A449DA" w14:paraId="05894F58" w14:textId="35177A3F">
      <w:pPr>
        <w:ind w:firstLine="0"/>
        <w:jc w:val="center"/>
        <w:rPr>
          <w:rFonts w:cstheme="minorHAnsi"/>
          <w:sz w:val="24"/>
          <w:szCs w:val="24"/>
        </w:rPr>
      </w:pPr>
      <w:r w:rsidRPr="009746F8">
        <w:rPr>
          <w:rFonts w:cstheme="minorHAnsi"/>
          <w:sz w:val="24"/>
          <w:szCs w:val="24"/>
        </w:rPr>
        <w:t>Student’s Name</w:t>
      </w:r>
    </w:p>
    <w:p w:rsidR="00A449DA" w:rsidP="00A449DA" w14:paraId="37BF9849" w14:textId="2476F70C">
      <w:pPr>
        <w:ind w:firstLine="0"/>
        <w:jc w:val="center"/>
        <w:rPr>
          <w:rFonts w:cstheme="minorHAnsi"/>
          <w:sz w:val="24"/>
          <w:szCs w:val="24"/>
        </w:rPr>
      </w:pPr>
      <w:r w:rsidRPr="009746F8">
        <w:rPr>
          <w:rFonts w:cstheme="minorHAnsi"/>
          <w:sz w:val="24"/>
          <w:szCs w:val="24"/>
        </w:rPr>
        <w:t>Institutional Affiliation</w:t>
      </w:r>
    </w:p>
    <w:p w:rsidR="009746F8" w:rsidP="00A449DA" w14:paraId="02F055F7" w14:textId="737744B0">
      <w:pPr>
        <w:ind w:firstLine="0"/>
        <w:jc w:val="center"/>
        <w:rPr>
          <w:rFonts w:cstheme="minorHAnsi"/>
          <w:sz w:val="24"/>
          <w:szCs w:val="24"/>
        </w:rPr>
      </w:pPr>
      <w:r>
        <w:rPr>
          <w:rFonts w:cstheme="minorHAnsi"/>
          <w:sz w:val="24"/>
          <w:szCs w:val="24"/>
        </w:rPr>
        <w:t>Date</w:t>
      </w:r>
    </w:p>
    <w:p w:rsidR="009746F8" w:rsidP="009746F8" w14:paraId="4193059B" w14:textId="404AD3EA">
      <w:pPr>
        <w:ind w:firstLine="0"/>
        <w:rPr>
          <w:rFonts w:cstheme="minorHAnsi"/>
          <w:sz w:val="24"/>
          <w:szCs w:val="24"/>
        </w:rPr>
      </w:pPr>
    </w:p>
    <w:p w:rsidR="009746F8" w:rsidP="009746F8" w14:paraId="11B0923A" w14:textId="3DE662DC">
      <w:pPr>
        <w:ind w:firstLine="0"/>
        <w:rPr>
          <w:rFonts w:cstheme="minorHAnsi"/>
          <w:sz w:val="24"/>
          <w:szCs w:val="24"/>
        </w:rPr>
      </w:pPr>
    </w:p>
    <w:p w:rsidR="009746F8" w:rsidP="009746F8" w14:paraId="4A6B56B5" w14:textId="12EA2DDB">
      <w:pPr>
        <w:ind w:firstLine="0"/>
        <w:rPr>
          <w:rFonts w:cstheme="minorHAnsi"/>
          <w:sz w:val="24"/>
          <w:szCs w:val="24"/>
        </w:rPr>
      </w:pPr>
    </w:p>
    <w:p w:rsidR="009746F8" w:rsidP="009746F8" w14:paraId="3CEDE4B4" w14:textId="0D6BA56F">
      <w:pPr>
        <w:ind w:firstLine="0"/>
        <w:rPr>
          <w:rFonts w:cstheme="minorHAnsi"/>
          <w:sz w:val="24"/>
          <w:szCs w:val="24"/>
        </w:rPr>
      </w:pPr>
    </w:p>
    <w:p w:rsidR="009746F8" w:rsidP="009746F8" w14:paraId="75B65735" w14:textId="6F3C7BD2">
      <w:pPr>
        <w:ind w:firstLine="0"/>
        <w:rPr>
          <w:rFonts w:cstheme="minorHAnsi"/>
          <w:sz w:val="24"/>
          <w:szCs w:val="24"/>
        </w:rPr>
      </w:pPr>
    </w:p>
    <w:p w:rsidR="009746F8" w:rsidP="009746F8" w14:paraId="7E6712F5" w14:textId="534F41F4">
      <w:pPr>
        <w:ind w:firstLine="0"/>
        <w:rPr>
          <w:rFonts w:cstheme="minorHAnsi"/>
          <w:sz w:val="24"/>
          <w:szCs w:val="24"/>
        </w:rPr>
      </w:pPr>
    </w:p>
    <w:p w:rsidR="009746F8" w:rsidP="009746F8" w14:paraId="22A21EB6" w14:textId="4080E344">
      <w:pPr>
        <w:ind w:firstLine="0"/>
        <w:rPr>
          <w:rFonts w:cstheme="minorHAnsi"/>
          <w:sz w:val="24"/>
          <w:szCs w:val="24"/>
        </w:rPr>
      </w:pPr>
    </w:p>
    <w:p w:rsidR="009746F8" w:rsidP="009746F8" w14:paraId="2B9B758E" w14:textId="05F997DD">
      <w:pPr>
        <w:ind w:firstLine="0"/>
        <w:rPr>
          <w:rFonts w:cstheme="minorHAnsi"/>
          <w:sz w:val="24"/>
          <w:szCs w:val="24"/>
        </w:rPr>
      </w:pPr>
    </w:p>
    <w:p w:rsidR="007A2031" w:rsidRPr="007A2031" w:rsidP="007A2031" w14:paraId="5724DA9B" w14:textId="05A2FA0D">
      <w:pPr>
        <w:ind w:firstLine="0"/>
        <w:jc w:val="center"/>
        <w:rPr>
          <w:rFonts w:cstheme="minorHAnsi"/>
          <w:b/>
          <w:bCs/>
          <w:sz w:val="24"/>
          <w:szCs w:val="24"/>
        </w:rPr>
      </w:pPr>
      <w:r w:rsidRPr="007A2031">
        <w:rPr>
          <w:rFonts w:cstheme="minorHAnsi"/>
          <w:b/>
          <w:bCs/>
          <w:sz w:val="24"/>
          <w:szCs w:val="24"/>
        </w:rPr>
        <w:t>Key Findings from Interviews</w:t>
      </w:r>
    </w:p>
    <w:p w:rsidR="009746F8" w:rsidP="009746F8" w14:paraId="25C16324" w14:textId="538958EA">
      <w:pPr>
        <w:ind w:firstLine="0"/>
        <w:rPr>
          <w:rFonts w:cstheme="minorHAnsi"/>
          <w:sz w:val="24"/>
          <w:szCs w:val="24"/>
        </w:rPr>
      </w:pPr>
      <w:r>
        <w:rPr>
          <w:rFonts w:cstheme="minorHAnsi"/>
          <w:sz w:val="24"/>
          <w:szCs w:val="24"/>
        </w:rPr>
        <w:t xml:space="preserve">I conduct an interview that involves two interviewees, say interviewee </w:t>
      </w:r>
      <w:r w:rsidR="00477992">
        <w:rPr>
          <w:rFonts w:cstheme="minorHAnsi"/>
          <w:sz w:val="24"/>
          <w:szCs w:val="24"/>
        </w:rPr>
        <w:t>#</w:t>
      </w:r>
      <w:r>
        <w:rPr>
          <w:rFonts w:cstheme="minorHAnsi"/>
          <w:sz w:val="24"/>
          <w:szCs w:val="24"/>
        </w:rPr>
        <w:t xml:space="preserve">1 and interviewee </w:t>
      </w:r>
      <w:r w:rsidR="00477992">
        <w:rPr>
          <w:rFonts w:cstheme="minorHAnsi"/>
          <w:sz w:val="24"/>
          <w:szCs w:val="24"/>
        </w:rPr>
        <w:t>#</w:t>
      </w:r>
      <w:r>
        <w:rPr>
          <w:rFonts w:cstheme="minorHAnsi"/>
          <w:sz w:val="24"/>
          <w:szCs w:val="24"/>
        </w:rPr>
        <w:t>2. I seek to understand their knowledge and perception of changing circumstances in morbidity</w:t>
      </w:r>
      <w:r w:rsidRPr="001443CD" w:rsidR="001443CD">
        <w:rPr>
          <w:rFonts w:cstheme="minorHAnsi"/>
          <w:sz w:val="24"/>
          <w:szCs w:val="24"/>
        </w:rPr>
        <w:t xml:space="preserve"> </w:t>
      </w:r>
      <w:r w:rsidRPr="001443CD" w:rsidR="001443CD">
        <w:rPr>
          <w:rFonts w:cstheme="minorHAnsi"/>
          <w:sz w:val="24"/>
          <w:szCs w:val="24"/>
        </w:rPr>
        <w:t xml:space="preserve">in </w:t>
      </w:r>
      <w:r w:rsidRPr="001443CD" w:rsidR="001443CD">
        <w:rPr>
          <w:rFonts w:cstheme="minorHAnsi"/>
          <w:sz w:val="24"/>
          <w:szCs w:val="24"/>
        </w:rPr>
        <w:t>public health</w:t>
      </w:r>
      <w:r>
        <w:rPr>
          <w:rFonts w:cstheme="minorHAnsi"/>
          <w:sz w:val="24"/>
          <w:szCs w:val="24"/>
        </w:rPr>
        <w:t xml:space="preserve">. Generally, the two interviewees give the meaning of public health as the efforts applied by the society to avoid </w:t>
      </w:r>
      <w:r w:rsidR="001443CD">
        <w:rPr>
          <w:rFonts w:cstheme="minorHAnsi"/>
          <w:sz w:val="24"/>
          <w:szCs w:val="24"/>
        </w:rPr>
        <w:t xml:space="preserve">contracting diseases, lengthening life span, and ensuring that people live healthily. </w:t>
      </w:r>
      <w:r>
        <w:rPr>
          <w:rFonts w:cstheme="minorHAnsi"/>
          <w:sz w:val="24"/>
          <w:szCs w:val="24"/>
        </w:rPr>
        <w:t xml:space="preserve"> </w:t>
      </w:r>
      <w:r w:rsidR="001443CD">
        <w:rPr>
          <w:rFonts w:cstheme="minorHAnsi"/>
          <w:sz w:val="24"/>
          <w:szCs w:val="24"/>
        </w:rPr>
        <w:t xml:space="preserve">Their view on public perception of public health is that keeping away from practices that are likely to expose them to </w:t>
      </w:r>
      <w:r w:rsidR="00477992">
        <w:rPr>
          <w:rFonts w:cstheme="minorHAnsi"/>
          <w:sz w:val="24"/>
          <w:szCs w:val="24"/>
        </w:rPr>
        <w:t xml:space="preserve">diseases as well as measures put in place by the government to promote the health of its citizens. </w:t>
      </w:r>
    </w:p>
    <w:p w:rsidR="00A449DA" w:rsidP="00A449DA" w14:paraId="7D692B26" w14:textId="0253127B">
      <w:pPr>
        <w:ind w:firstLine="0"/>
        <w:rPr>
          <w:rFonts w:cstheme="minorHAnsi"/>
          <w:sz w:val="24"/>
          <w:szCs w:val="24"/>
        </w:rPr>
      </w:pPr>
      <w:r>
        <w:rPr>
          <w:rFonts w:cstheme="minorHAnsi"/>
          <w:sz w:val="24"/>
          <w:szCs w:val="24"/>
        </w:rPr>
        <w:tab/>
        <w:t xml:space="preserve">Basing on the influence of covid-19 on public health, interviewee #1 states that he has identified that there </w:t>
      </w:r>
      <w:r w:rsidR="00BE5BE7">
        <w:rPr>
          <w:rFonts w:cstheme="minorHAnsi"/>
          <w:sz w:val="24"/>
          <w:szCs w:val="24"/>
        </w:rPr>
        <w:t>exist</w:t>
      </w:r>
      <w:r>
        <w:rPr>
          <w:rFonts w:cstheme="minorHAnsi"/>
          <w:sz w:val="24"/>
          <w:szCs w:val="24"/>
        </w:rPr>
        <w:t xml:space="preserve"> gaps that need to be filled in public health. He says that there </w:t>
      </w:r>
      <w:r w:rsidR="00BE5BE7">
        <w:rPr>
          <w:rFonts w:cstheme="minorHAnsi"/>
          <w:sz w:val="24"/>
          <w:szCs w:val="24"/>
        </w:rPr>
        <w:t>lacks</w:t>
      </w:r>
      <w:r>
        <w:rPr>
          <w:rFonts w:cstheme="minorHAnsi"/>
          <w:sz w:val="24"/>
          <w:szCs w:val="24"/>
        </w:rPr>
        <w:t xml:space="preserve"> preparedness in different countries for the prevention of the spread of diseases. He defends his claim with the insufficient equipment available in hospitals to attend to patients. Interviewee #2 says that </w:t>
      </w:r>
      <w:r w:rsidR="00BE5BE7">
        <w:rPr>
          <w:rFonts w:cstheme="minorHAnsi"/>
          <w:sz w:val="24"/>
          <w:szCs w:val="24"/>
        </w:rPr>
        <w:t xml:space="preserve">he has realized that international cooperation is important in promoting public health. He says that enhancing public health is not a matter of protecting the citizens of a particular country. It requires international intervention. </w:t>
      </w:r>
    </w:p>
    <w:p w:rsidR="00921C56" w:rsidP="00A449DA" w14:paraId="7BCE1355" w14:textId="6D88C3D0">
      <w:pPr>
        <w:ind w:firstLine="0"/>
        <w:rPr>
          <w:rFonts w:cstheme="minorHAnsi"/>
          <w:sz w:val="24"/>
          <w:szCs w:val="24"/>
        </w:rPr>
      </w:pPr>
      <w:r>
        <w:rPr>
          <w:rFonts w:cstheme="minorHAnsi"/>
          <w:sz w:val="24"/>
          <w:szCs w:val="24"/>
        </w:rPr>
        <w:tab/>
        <w:t xml:space="preserve">Both interviewees compare changes they experienced during the outbreak of HIV/AIDs with those of the coronavirus. In both cases, they attribute the spread </w:t>
      </w:r>
      <w:r w:rsidR="00BF283D">
        <w:rPr>
          <w:rFonts w:cstheme="minorHAnsi"/>
          <w:sz w:val="24"/>
          <w:szCs w:val="24"/>
        </w:rPr>
        <w:t>as being more prevalent to the places with high populations such as urban centers</w:t>
      </w:r>
      <w:bookmarkStart w:id="0" w:name="_Hlk70763159"/>
      <w:r w:rsidR="00BF283D">
        <w:rPr>
          <w:rFonts w:cstheme="minorHAnsi"/>
          <w:sz w:val="24"/>
          <w:szCs w:val="24"/>
        </w:rPr>
        <w:t>.</w:t>
      </w:r>
      <w:r w:rsidR="0073509E">
        <w:rPr>
          <w:rFonts w:cstheme="minorHAnsi"/>
          <w:sz w:val="24"/>
          <w:szCs w:val="24"/>
        </w:rPr>
        <w:t xml:space="preserve"> Interviewee #1 states that the mode of transmission for HIV/AIDs is equally the same as that of the Covid-19 pandemic</w:t>
      </w:r>
      <w:bookmarkEnd w:id="0"/>
      <w:r w:rsidR="0073509E">
        <w:rPr>
          <w:rFonts w:cstheme="minorHAnsi"/>
          <w:sz w:val="24"/>
          <w:szCs w:val="24"/>
        </w:rPr>
        <w:t>.</w:t>
      </w:r>
      <w:r w:rsidR="00BF283D">
        <w:rPr>
          <w:rFonts w:cstheme="minorHAnsi"/>
          <w:sz w:val="24"/>
          <w:szCs w:val="24"/>
        </w:rPr>
        <w:t xml:space="preserve"> They also compare the methods used to curb the </w:t>
      </w:r>
      <w:r>
        <w:rPr>
          <w:rFonts w:cstheme="minorHAnsi"/>
          <w:sz w:val="24"/>
          <w:szCs w:val="24"/>
        </w:rPr>
        <w:t xml:space="preserve">spread of the diseases </w:t>
      </w:r>
      <w:r w:rsidR="00BF283D">
        <w:rPr>
          <w:rFonts w:cstheme="minorHAnsi"/>
          <w:sz w:val="24"/>
          <w:szCs w:val="24"/>
        </w:rPr>
        <w:t xml:space="preserve">and term them based on individual responsibilities. </w:t>
      </w:r>
      <w:r w:rsidR="00B9010C">
        <w:rPr>
          <w:rFonts w:cstheme="minorHAnsi"/>
          <w:sz w:val="24"/>
          <w:szCs w:val="24"/>
        </w:rPr>
        <w:t xml:space="preserve">They also add that the most infected age bracket of the population is the young </w:t>
      </w:r>
      <w:r w:rsidR="00B9010C">
        <w:rPr>
          <w:rFonts w:cstheme="minorHAnsi"/>
          <w:sz w:val="24"/>
          <w:szCs w:val="24"/>
        </w:rPr>
        <w:t>population aged between 20 and 45 years</w:t>
      </w:r>
      <w:r w:rsidRPr="0073509E" w:rsidR="0073509E">
        <w:rPr>
          <w:rFonts w:cstheme="minorHAnsi"/>
          <w:sz w:val="24"/>
          <w:szCs w:val="24"/>
        </w:rPr>
        <w:t>. Interviewee #1 states that the mode of transmission for HIV/AIDs is equally the same as that of the Covid-19 pandemic</w:t>
      </w:r>
      <w:r w:rsidR="00B9010C">
        <w:rPr>
          <w:rFonts w:cstheme="minorHAnsi"/>
          <w:sz w:val="24"/>
          <w:szCs w:val="24"/>
        </w:rPr>
        <w:t xml:space="preserve">. </w:t>
      </w:r>
    </w:p>
    <w:p w:rsidR="00B9010C" w:rsidP="00921C56" w14:paraId="3714A572" w14:textId="6BDD2240">
      <w:pPr>
        <w:rPr>
          <w:rFonts w:cstheme="minorHAnsi"/>
          <w:sz w:val="24"/>
          <w:szCs w:val="24"/>
        </w:rPr>
      </w:pPr>
      <w:r>
        <w:rPr>
          <w:rFonts w:cstheme="minorHAnsi"/>
          <w:sz w:val="24"/>
          <w:szCs w:val="24"/>
        </w:rPr>
        <w:t xml:space="preserve">From both </w:t>
      </w:r>
      <w:r w:rsidR="0048488E">
        <w:rPr>
          <w:rFonts w:cstheme="minorHAnsi"/>
          <w:sz w:val="24"/>
          <w:szCs w:val="24"/>
        </w:rPr>
        <w:t>interviewees</w:t>
      </w:r>
      <w:r>
        <w:rPr>
          <w:rFonts w:cstheme="minorHAnsi"/>
          <w:sz w:val="24"/>
          <w:szCs w:val="24"/>
        </w:rPr>
        <w:t xml:space="preserve">, I note that </w:t>
      </w:r>
      <w:r w:rsidR="0048488E">
        <w:rPr>
          <w:rFonts w:cstheme="minorHAnsi"/>
          <w:sz w:val="24"/>
          <w:szCs w:val="24"/>
        </w:rPr>
        <w:t xml:space="preserve">over the last </w:t>
      </w:r>
      <w:r w:rsidR="00921C56">
        <w:rPr>
          <w:rFonts w:cstheme="minorHAnsi"/>
          <w:sz w:val="24"/>
          <w:szCs w:val="24"/>
        </w:rPr>
        <w:t xml:space="preserve">100 years, </w:t>
      </w:r>
      <w:r>
        <w:rPr>
          <w:rFonts w:cstheme="minorHAnsi"/>
          <w:sz w:val="24"/>
          <w:szCs w:val="24"/>
        </w:rPr>
        <w:t>they attribute the changes in health conditions of people to</w:t>
      </w:r>
      <w:r w:rsidR="00F73702">
        <w:rPr>
          <w:rFonts w:cstheme="minorHAnsi"/>
          <w:sz w:val="24"/>
          <w:szCs w:val="24"/>
        </w:rPr>
        <w:t xml:space="preserve"> poor standards of living where some people are unable to sustain their living such as good housing</w:t>
      </w:r>
      <w:r w:rsidR="003C5D85">
        <w:rPr>
          <w:rFonts w:cstheme="minorHAnsi"/>
          <w:sz w:val="24"/>
          <w:szCs w:val="24"/>
        </w:rPr>
        <w:t xml:space="preserve">. In terms of diseases or health conditions, they hope that there will be a connection between doctors and patients. Interviewee #1 says that he looks forward to having a system that will seek to employ telehealth technology that will enhance the interconnection of patients and the doctors throughout. This will limit the long processes of appointments to see a doctor and also ensure that the health condition of people </w:t>
      </w:r>
      <w:r w:rsidR="007A2031">
        <w:rPr>
          <w:rFonts w:cstheme="minorHAnsi"/>
          <w:sz w:val="24"/>
          <w:szCs w:val="24"/>
        </w:rPr>
        <w:t xml:space="preserve">is regularly checked. Interviewee #2 supports interviewee #1 by adding that the health of people can only be promoted through a stronger link between patients and the doctors. </w:t>
      </w:r>
    </w:p>
    <w:p w:rsidR="007A2031" w:rsidP="007A2031" w14:paraId="626D9B5D" w14:textId="026E34D0">
      <w:pPr>
        <w:ind w:firstLine="0"/>
        <w:jc w:val="center"/>
        <w:rPr>
          <w:rFonts w:cstheme="minorHAnsi"/>
          <w:b/>
          <w:bCs/>
          <w:sz w:val="24"/>
          <w:szCs w:val="24"/>
        </w:rPr>
      </w:pPr>
      <w:r w:rsidRPr="007A2031">
        <w:rPr>
          <w:rFonts w:cstheme="minorHAnsi"/>
          <w:b/>
          <w:bCs/>
          <w:sz w:val="24"/>
          <w:szCs w:val="24"/>
        </w:rPr>
        <w:t>Synthesis across Interviews</w:t>
      </w:r>
    </w:p>
    <w:p w:rsidR="007A2031" w:rsidP="007A2031" w14:paraId="58ECCBBB" w14:textId="5B1F2855">
      <w:pPr>
        <w:ind w:firstLine="0"/>
        <w:rPr>
          <w:rFonts w:cstheme="minorHAnsi"/>
          <w:sz w:val="24"/>
          <w:szCs w:val="24"/>
        </w:rPr>
      </w:pPr>
      <w:r>
        <w:rPr>
          <w:rFonts w:cstheme="minorHAnsi"/>
          <w:b/>
          <w:bCs/>
          <w:sz w:val="24"/>
          <w:szCs w:val="24"/>
        </w:rPr>
        <w:tab/>
      </w:r>
      <w:r w:rsidRPr="007A2031">
        <w:rPr>
          <w:rFonts w:cstheme="minorHAnsi"/>
          <w:sz w:val="24"/>
          <w:szCs w:val="24"/>
        </w:rPr>
        <w:t xml:space="preserve">In both cases, the interviewees seem to be familiar with the </w:t>
      </w:r>
      <w:r>
        <w:rPr>
          <w:rFonts w:cstheme="minorHAnsi"/>
          <w:sz w:val="24"/>
          <w:szCs w:val="24"/>
        </w:rPr>
        <w:t xml:space="preserve">knowledge of public health. They are of a similar opinion that </w:t>
      </w:r>
      <w:r w:rsidR="00A01D3F">
        <w:rPr>
          <w:rFonts w:cstheme="minorHAnsi"/>
          <w:sz w:val="24"/>
          <w:szCs w:val="24"/>
        </w:rPr>
        <w:t xml:space="preserve">public health means measures put in place to prevent diseases. They also reflect on the outbreak of HIV/AIDs as having similarities with the covid-19 pandemic in the healthcare system. They both hope to have a system that connects doctors and the patients in future to promote health. However, they differ on the ways by which the covid-19 pandemic has influenced their view on public health. Interviewee #1 is of the idea that some improvements need to be done </w:t>
      </w:r>
      <w:r w:rsidR="0073509E">
        <w:rPr>
          <w:rFonts w:cstheme="minorHAnsi"/>
          <w:sz w:val="24"/>
          <w:szCs w:val="24"/>
        </w:rPr>
        <w:t xml:space="preserve">while interviewee #2 says that international cooperation is the key to promoting public health. </w:t>
      </w:r>
    </w:p>
    <w:p w:rsidR="0073509E" w:rsidP="007A2031" w14:paraId="02A0B09D" w14:textId="025E025F">
      <w:pPr>
        <w:ind w:firstLine="0"/>
        <w:rPr>
          <w:rFonts w:cstheme="minorHAnsi"/>
          <w:sz w:val="24"/>
          <w:szCs w:val="24"/>
        </w:rPr>
      </w:pPr>
      <w:r>
        <w:rPr>
          <w:rFonts w:cstheme="minorHAnsi"/>
          <w:sz w:val="24"/>
          <w:szCs w:val="24"/>
        </w:rPr>
        <w:tab/>
      </w:r>
      <w:r w:rsidR="00193366">
        <w:rPr>
          <w:rFonts w:cstheme="minorHAnsi"/>
          <w:sz w:val="24"/>
          <w:szCs w:val="24"/>
        </w:rPr>
        <w:t>In the interview, I am surprised by</w:t>
      </w:r>
      <w:r w:rsidR="00C24D3F">
        <w:rPr>
          <w:rFonts w:cstheme="minorHAnsi"/>
          <w:sz w:val="24"/>
          <w:szCs w:val="24"/>
        </w:rPr>
        <w:t xml:space="preserve"> the first interviewee’s</w:t>
      </w:r>
      <w:r w:rsidR="00193366">
        <w:rPr>
          <w:rFonts w:cstheme="minorHAnsi"/>
          <w:sz w:val="24"/>
          <w:szCs w:val="24"/>
        </w:rPr>
        <w:t xml:space="preserve"> response that both Coronavirus and HIV/AIDs have that same mode of transmission. </w:t>
      </w:r>
      <w:r>
        <w:rPr>
          <w:rFonts w:cstheme="minorHAnsi"/>
          <w:sz w:val="24"/>
          <w:szCs w:val="24"/>
        </w:rPr>
        <w:t>I am of a different opinion with</w:t>
      </w:r>
      <w:r w:rsidR="00193366">
        <w:rPr>
          <w:rFonts w:cstheme="minorHAnsi"/>
          <w:sz w:val="24"/>
          <w:szCs w:val="24"/>
        </w:rPr>
        <w:t xml:space="preserve"> his idea</w:t>
      </w:r>
      <w:r>
        <w:rPr>
          <w:rFonts w:cstheme="minorHAnsi"/>
          <w:sz w:val="24"/>
          <w:szCs w:val="24"/>
        </w:rPr>
        <w:t xml:space="preserve">. Whereas HIV/AIDS </w:t>
      </w:r>
      <w:r w:rsidR="00193366">
        <w:rPr>
          <w:rFonts w:cstheme="minorHAnsi"/>
          <w:sz w:val="24"/>
          <w:szCs w:val="24"/>
        </w:rPr>
        <w:t>is</w:t>
      </w:r>
      <w:r>
        <w:rPr>
          <w:rFonts w:cstheme="minorHAnsi"/>
          <w:sz w:val="24"/>
          <w:szCs w:val="24"/>
        </w:rPr>
        <w:t xml:space="preserve"> sexually transmitted, </w:t>
      </w:r>
      <w:r w:rsidR="00193366">
        <w:rPr>
          <w:rFonts w:cstheme="minorHAnsi"/>
          <w:sz w:val="24"/>
          <w:szCs w:val="24"/>
        </w:rPr>
        <w:t>Coronavirus is transmitted through such ways as coughing, sneezing, and the exchange of fluids.</w:t>
      </w:r>
      <w:r w:rsidR="00C24D3F">
        <w:rPr>
          <w:rFonts w:cstheme="minorHAnsi"/>
          <w:sz w:val="24"/>
          <w:szCs w:val="24"/>
        </w:rPr>
        <w:t xml:space="preserve"> </w:t>
      </w:r>
      <w:r w:rsidR="00193366">
        <w:rPr>
          <w:rFonts w:cstheme="minorHAnsi"/>
          <w:sz w:val="24"/>
          <w:szCs w:val="24"/>
        </w:rPr>
        <w:t>I also think that besides only having improved doctor-patient relationship</w:t>
      </w:r>
      <w:r w:rsidR="00C24D3F">
        <w:rPr>
          <w:rFonts w:cstheme="minorHAnsi"/>
          <w:sz w:val="24"/>
          <w:szCs w:val="24"/>
        </w:rPr>
        <w:t>s as a way of improving public health in the future</w:t>
      </w:r>
      <w:r w:rsidR="00193366">
        <w:rPr>
          <w:rFonts w:cstheme="minorHAnsi"/>
          <w:sz w:val="24"/>
          <w:szCs w:val="24"/>
        </w:rPr>
        <w:t xml:space="preserve">, </w:t>
      </w:r>
      <w:r w:rsidR="00C24D3F">
        <w:rPr>
          <w:rFonts w:cstheme="minorHAnsi"/>
          <w:sz w:val="24"/>
          <w:szCs w:val="24"/>
        </w:rPr>
        <w:t>there should be improved technology that enhances access to healthcare services by all patients. Telehealth may be a challenging achievement to be made from its requirement of the use of devices such as laptops and smartphones. These may not be readily accessible to all people from their high prices</w:t>
      </w:r>
      <w:r w:rsidRPr="00AE4083" w:rsidR="00AE4083">
        <w:rPr>
          <w:rFonts w:cstheme="minorHAnsi"/>
          <w:sz w:val="24"/>
          <w:szCs w:val="24"/>
        </w:rPr>
        <w:t xml:space="preserve"> </w:t>
      </w:r>
      <w:r w:rsidR="00AE4083">
        <w:rPr>
          <w:rFonts w:cstheme="minorHAnsi"/>
          <w:sz w:val="24"/>
          <w:szCs w:val="24"/>
        </w:rPr>
        <w:t>(</w:t>
      </w:r>
      <w:r w:rsidRPr="00AE4083" w:rsidR="00AE4083">
        <w:rPr>
          <w:rFonts w:cstheme="minorHAnsi"/>
          <w:sz w:val="24"/>
          <w:szCs w:val="24"/>
        </w:rPr>
        <w:t>Blandford</w:t>
      </w:r>
      <w:r w:rsidR="00AE4083">
        <w:rPr>
          <w:rFonts w:cstheme="minorHAnsi"/>
          <w:sz w:val="24"/>
          <w:szCs w:val="24"/>
        </w:rPr>
        <w:t xml:space="preserve"> et al., 2020)</w:t>
      </w:r>
      <w:r w:rsidR="00C24D3F">
        <w:rPr>
          <w:rFonts w:cstheme="minorHAnsi"/>
          <w:sz w:val="24"/>
          <w:szCs w:val="24"/>
        </w:rPr>
        <w:t xml:space="preserve">. </w:t>
      </w:r>
    </w:p>
    <w:p w:rsidR="00F73702" w:rsidP="007A2031" w14:paraId="3E3EE9F5" w14:textId="6511E995">
      <w:pPr>
        <w:ind w:firstLine="0"/>
        <w:rPr>
          <w:rFonts w:cstheme="minorHAnsi"/>
          <w:sz w:val="24"/>
          <w:szCs w:val="24"/>
        </w:rPr>
      </w:pPr>
      <w:r>
        <w:rPr>
          <w:rFonts w:cstheme="minorHAnsi"/>
          <w:sz w:val="24"/>
          <w:szCs w:val="24"/>
        </w:rPr>
        <w:tab/>
        <w:t xml:space="preserve">On the question about the factors that have led to changes in diseases, I don’t think standards of living may have contributed to this. People of the modern world are living a better life than that of 100 years ago, they can access good housing. In my opinion, I would attribute the changes in diseases to </w:t>
      </w:r>
      <w:r w:rsidRPr="00F73702">
        <w:rPr>
          <w:rFonts w:cstheme="minorHAnsi"/>
          <w:sz w:val="24"/>
          <w:szCs w:val="24"/>
        </w:rPr>
        <w:t>low immunity by such practices as refusal to take vaccines, bacteria, and viruses becoming resistant to drugs such as antibiotics, as well as changes in climatic conditions such as an increase in global temperatures</w:t>
      </w:r>
      <w:r w:rsidRPr="00AE4083" w:rsidR="00AE4083">
        <w:rPr>
          <w:rFonts w:cstheme="minorHAnsi"/>
          <w:sz w:val="24"/>
          <w:szCs w:val="24"/>
        </w:rPr>
        <w:t xml:space="preserve"> </w:t>
      </w:r>
      <w:r w:rsidR="00AE4083">
        <w:rPr>
          <w:rFonts w:cstheme="minorHAnsi"/>
          <w:sz w:val="24"/>
          <w:szCs w:val="24"/>
        </w:rPr>
        <w:t>(</w:t>
      </w:r>
      <w:r w:rsidRPr="00AE4083" w:rsidR="00AE4083">
        <w:rPr>
          <w:rFonts w:cstheme="minorHAnsi"/>
          <w:sz w:val="24"/>
          <w:szCs w:val="24"/>
        </w:rPr>
        <w:t>Steel</w:t>
      </w:r>
      <w:r w:rsidR="00AE4083">
        <w:rPr>
          <w:rFonts w:cstheme="minorHAnsi"/>
          <w:sz w:val="24"/>
          <w:szCs w:val="24"/>
        </w:rPr>
        <w:t xml:space="preserve"> et al. 2018)</w:t>
      </w:r>
      <w:r>
        <w:rPr>
          <w:rFonts w:cstheme="minorHAnsi"/>
          <w:sz w:val="24"/>
          <w:szCs w:val="24"/>
        </w:rPr>
        <w:t>.</w:t>
      </w:r>
    </w:p>
    <w:p w:rsidR="00F73702" w:rsidP="00F73702" w14:paraId="06CFA396" w14:textId="3FA73791">
      <w:pPr>
        <w:ind w:firstLine="0"/>
        <w:jc w:val="center"/>
        <w:rPr>
          <w:rFonts w:cstheme="minorHAnsi"/>
          <w:b/>
          <w:bCs/>
          <w:sz w:val="24"/>
          <w:szCs w:val="24"/>
        </w:rPr>
      </w:pPr>
      <w:r w:rsidRPr="00F73702">
        <w:rPr>
          <w:rFonts w:cstheme="minorHAnsi"/>
          <w:b/>
          <w:bCs/>
          <w:sz w:val="24"/>
          <w:szCs w:val="24"/>
        </w:rPr>
        <w:t>Reflection</w:t>
      </w:r>
    </w:p>
    <w:p w:rsidR="00F73702" w:rsidP="00F73702" w14:paraId="0D0B7A9D" w14:textId="4A2A2278">
      <w:pPr>
        <w:ind w:firstLine="0"/>
        <w:rPr>
          <w:rFonts w:cstheme="minorHAnsi"/>
          <w:sz w:val="24"/>
          <w:szCs w:val="24"/>
        </w:rPr>
      </w:pPr>
      <w:r w:rsidRPr="00412F08">
        <w:rPr>
          <w:rFonts w:cstheme="minorHAnsi"/>
          <w:sz w:val="24"/>
          <w:szCs w:val="24"/>
        </w:rPr>
        <w:tab/>
      </w:r>
      <w:r w:rsidRPr="00412F08" w:rsidR="00412F08">
        <w:rPr>
          <w:rFonts w:cstheme="minorHAnsi"/>
          <w:sz w:val="24"/>
          <w:szCs w:val="24"/>
        </w:rPr>
        <w:t>From this interview, I learned that</w:t>
      </w:r>
      <w:r w:rsidR="00412F08">
        <w:rPr>
          <w:rFonts w:cstheme="minorHAnsi"/>
          <w:sz w:val="24"/>
          <w:szCs w:val="24"/>
        </w:rPr>
        <w:t xml:space="preserve"> if all countries of the world ganged up to come up with measures to prevent diseases, everybody would be protected against health issues. I also learned that individual responsibility would go a long way in enhancing health safety for all individuals. The responses given by the interviewees indicate that there is a lot that needs to be done to enhance public health starting with. The discovery of the importance of individual responsibility </w:t>
      </w:r>
      <w:r w:rsidR="00412F08">
        <w:rPr>
          <w:rFonts w:cstheme="minorHAnsi"/>
          <w:sz w:val="24"/>
          <w:szCs w:val="24"/>
        </w:rPr>
        <w:t>has proven to be one of the most efficient ways that can help prevent diseases, especially contagious ones such as Coronavirus. Many people are reluctant on matters relating to their health and that of others.</w:t>
      </w:r>
      <w:r w:rsidR="00264FA4">
        <w:rPr>
          <w:rFonts w:cstheme="minorHAnsi"/>
          <w:sz w:val="24"/>
          <w:szCs w:val="24"/>
        </w:rPr>
        <w:t xml:space="preserve"> It is therefore important to heed the necessary measures put in place. </w:t>
      </w:r>
      <w:r w:rsidR="00412F08">
        <w:rPr>
          <w:rFonts w:cstheme="minorHAnsi"/>
          <w:sz w:val="24"/>
          <w:szCs w:val="24"/>
        </w:rPr>
        <w:t xml:space="preserve"> </w:t>
      </w:r>
    </w:p>
    <w:p w:rsidR="00207EE7" w:rsidP="00207EE7" w14:paraId="4D793893" w14:textId="0B1F7170">
      <w:pPr>
        <w:ind w:firstLine="0"/>
        <w:jc w:val="center"/>
        <w:rPr>
          <w:rFonts w:cstheme="minorHAnsi"/>
          <w:b/>
          <w:bCs/>
          <w:sz w:val="24"/>
          <w:szCs w:val="24"/>
        </w:rPr>
      </w:pPr>
      <w:r w:rsidRPr="00207EE7">
        <w:rPr>
          <w:rFonts w:cstheme="minorHAnsi"/>
          <w:b/>
          <w:bCs/>
          <w:sz w:val="24"/>
          <w:szCs w:val="24"/>
        </w:rPr>
        <w:t xml:space="preserve">Table </w:t>
      </w:r>
      <w:r w:rsidRPr="00207EE7">
        <w:rPr>
          <w:rFonts w:cstheme="minorHAnsi"/>
          <w:b/>
          <w:bCs/>
          <w:sz w:val="24"/>
          <w:szCs w:val="24"/>
        </w:rPr>
        <w:t>Summarizing Interviewee Characteristics</w:t>
      </w:r>
    </w:p>
    <w:tbl>
      <w:tblPr>
        <w:tblStyle w:val="TableGrid"/>
        <w:tblW w:w="0" w:type="auto"/>
        <w:tblLook w:val="04A0"/>
      </w:tblPr>
      <w:tblGrid>
        <w:gridCol w:w="4675"/>
        <w:gridCol w:w="4675"/>
      </w:tblGrid>
      <w:tr w14:paraId="63A1AFA7" w14:textId="77777777" w:rsidTr="00207EE7">
        <w:tblPrEx>
          <w:tblW w:w="0" w:type="auto"/>
          <w:tblLook w:val="04A0"/>
        </w:tblPrEx>
        <w:trPr>
          <w:trHeight w:val="512"/>
        </w:trPr>
        <w:tc>
          <w:tcPr>
            <w:tcW w:w="4675" w:type="dxa"/>
          </w:tcPr>
          <w:p w:rsidR="00207EE7" w:rsidP="00207EE7" w14:paraId="7871F7CA" w14:textId="07644ECB">
            <w:pPr>
              <w:ind w:firstLine="0"/>
              <w:jc w:val="center"/>
              <w:rPr>
                <w:rFonts w:cstheme="minorHAnsi"/>
                <w:b/>
                <w:bCs/>
                <w:sz w:val="24"/>
                <w:szCs w:val="24"/>
              </w:rPr>
            </w:pPr>
            <w:r>
              <w:rPr>
                <w:rFonts w:cstheme="minorHAnsi"/>
                <w:b/>
                <w:bCs/>
                <w:sz w:val="24"/>
                <w:szCs w:val="24"/>
              </w:rPr>
              <w:t>Interviewee #1</w:t>
            </w:r>
          </w:p>
        </w:tc>
        <w:tc>
          <w:tcPr>
            <w:tcW w:w="4675" w:type="dxa"/>
          </w:tcPr>
          <w:p w:rsidR="00207EE7" w:rsidP="00207EE7" w14:paraId="473BFE90" w14:textId="314D350D">
            <w:pPr>
              <w:ind w:firstLine="0"/>
              <w:jc w:val="center"/>
              <w:rPr>
                <w:rFonts w:cstheme="minorHAnsi"/>
                <w:b/>
                <w:bCs/>
                <w:sz w:val="24"/>
                <w:szCs w:val="24"/>
              </w:rPr>
            </w:pPr>
            <w:r>
              <w:rPr>
                <w:rFonts w:cstheme="minorHAnsi"/>
                <w:b/>
                <w:bCs/>
                <w:sz w:val="24"/>
                <w:szCs w:val="24"/>
              </w:rPr>
              <w:t>Interviewee #2</w:t>
            </w:r>
          </w:p>
        </w:tc>
      </w:tr>
      <w:tr w14:paraId="27566C33" w14:textId="77777777" w:rsidTr="00962AAA">
        <w:tblPrEx>
          <w:tblW w:w="0" w:type="auto"/>
          <w:tblLook w:val="04A0"/>
        </w:tblPrEx>
        <w:trPr>
          <w:trHeight w:val="3149"/>
        </w:trPr>
        <w:tc>
          <w:tcPr>
            <w:tcW w:w="4675" w:type="dxa"/>
          </w:tcPr>
          <w:p w:rsidR="00207EE7" w:rsidRPr="00207EE7" w:rsidP="00207EE7" w14:paraId="68E05868" w14:textId="77777777">
            <w:pPr>
              <w:pStyle w:val="ListParagraph"/>
              <w:numPr>
                <w:ilvl w:val="0"/>
                <w:numId w:val="1"/>
              </w:numPr>
              <w:spacing w:line="480" w:lineRule="auto"/>
              <w:rPr>
                <w:rFonts w:cstheme="minorHAnsi"/>
                <w:sz w:val="24"/>
                <w:szCs w:val="24"/>
              </w:rPr>
            </w:pPr>
            <w:r w:rsidRPr="00207EE7">
              <w:rPr>
                <w:rFonts w:cstheme="minorHAnsi"/>
                <w:sz w:val="24"/>
                <w:szCs w:val="24"/>
              </w:rPr>
              <w:t>Prepared adequately</w:t>
            </w:r>
          </w:p>
          <w:p w:rsidR="00207EE7" w:rsidP="00207EE7" w14:paraId="1EAFBA84" w14:textId="62CC92F8">
            <w:pPr>
              <w:pStyle w:val="ListParagraph"/>
              <w:numPr>
                <w:ilvl w:val="0"/>
                <w:numId w:val="1"/>
              </w:numPr>
              <w:spacing w:line="480" w:lineRule="auto"/>
              <w:rPr>
                <w:rFonts w:cstheme="minorHAnsi"/>
                <w:sz w:val="24"/>
                <w:szCs w:val="24"/>
              </w:rPr>
            </w:pPr>
            <w:r w:rsidRPr="00207EE7">
              <w:rPr>
                <w:rFonts w:cstheme="minorHAnsi"/>
                <w:sz w:val="24"/>
                <w:szCs w:val="24"/>
              </w:rPr>
              <w:t>Confident in reasoning</w:t>
            </w:r>
          </w:p>
          <w:p w:rsidR="00207EE7" w:rsidP="00207EE7" w14:paraId="5D2F21F0" w14:textId="1D00473A">
            <w:pPr>
              <w:pStyle w:val="ListParagraph"/>
              <w:numPr>
                <w:ilvl w:val="0"/>
                <w:numId w:val="1"/>
              </w:numPr>
              <w:spacing w:line="480" w:lineRule="auto"/>
              <w:rPr>
                <w:rFonts w:cstheme="minorHAnsi"/>
                <w:sz w:val="24"/>
                <w:szCs w:val="24"/>
              </w:rPr>
            </w:pPr>
            <w:r>
              <w:rPr>
                <w:rFonts w:cstheme="minorHAnsi"/>
                <w:sz w:val="24"/>
                <w:szCs w:val="24"/>
              </w:rPr>
              <w:t>Enthusiastic</w:t>
            </w:r>
          </w:p>
          <w:p w:rsidR="00207EE7" w:rsidP="00207EE7" w14:paraId="2EB94B6C" w14:textId="007C9E78">
            <w:pPr>
              <w:pStyle w:val="ListParagraph"/>
              <w:numPr>
                <w:ilvl w:val="0"/>
                <w:numId w:val="1"/>
              </w:numPr>
              <w:spacing w:line="480" w:lineRule="auto"/>
              <w:rPr>
                <w:rFonts w:cstheme="minorHAnsi"/>
                <w:sz w:val="24"/>
                <w:szCs w:val="24"/>
              </w:rPr>
            </w:pPr>
            <w:r>
              <w:rPr>
                <w:rFonts w:cstheme="minorHAnsi"/>
                <w:sz w:val="24"/>
                <w:szCs w:val="24"/>
              </w:rPr>
              <w:t>Well dressed</w:t>
            </w:r>
          </w:p>
          <w:p w:rsidR="00207EE7" w:rsidRPr="00207EE7" w:rsidP="00207EE7" w14:paraId="47D80569" w14:textId="243D9FCA">
            <w:pPr>
              <w:pStyle w:val="ListParagraph"/>
              <w:numPr>
                <w:ilvl w:val="0"/>
                <w:numId w:val="1"/>
              </w:numPr>
              <w:spacing w:line="480" w:lineRule="auto"/>
              <w:rPr>
                <w:rFonts w:cstheme="minorHAnsi"/>
                <w:sz w:val="24"/>
                <w:szCs w:val="24"/>
              </w:rPr>
            </w:pPr>
            <w:r>
              <w:rPr>
                <w:rFonts w:cstheme="minorHAnsi"/>
                <w:sz w:val="24"/>
                <w:szCs w:val="24"/>
              </w:rPr>
              <w:t>Good listening skills</w:t>
            </w:r>
          </w:p>
          <w:p w:rsidR="00207EE7" w:rsidP="00207EE7" w14:paraId="4CDC9599" w14:textId="5899C88D">
            <w:pPr>
              <w:ind w:firstLine="0"/>
              <w:rPr>
                <w:rFonts w:cstheme="minorHAnsi"/>
                <w:b/>
                <w:bCs/>
                <w:sz w:val="24"/>
                <w:szCs w:val="24"/>
              </w:rPr>
            </w:pPr>
          </w:p>
        </w:tc>
        <w:tc>
          <w:tcPr>
            <w:tcW w:w="4675" w:type="dxa"/>
          </w:tcPr>
          <w:p w:rsidR="00207EE7" w:rsidP="00962AAA" w14:paraId="2550FE52" w14:textId="1FEB714B">
            <w:pPr>
              <w:pStyle w:val="ListParagraph"/>
              <w:numPr>
                <w:ilvl w:val="0"/>
                <w:numId w:val="1"/>
              </w:numPr>
              <w:spacing w:line="480" w:lineRule="auto"/>
              <w:rPr>
                <w:rFonts w:cstheme="minorHAnsi"/>
                <w:sz w:val="24"/>
                <w:szCs w:val="24"/>
              </w:rPr>
            </w:pPr>
            <w:r w:rsidRPr="00207EE7">
              <w:rPr>
                <w:rFonts w:cstheme="minorHAnsi"/>
                <w:sz w:val="24"/>
                <w:szCs w:val="24"/>
              </w:rPr>
              <w:t>Observant</w:t>
            </w:r>
          </w:p>
          <w:p w:rsidR="00207EE7" w:rsidP="00962AAA" w14:paraId="2665FB40" w14:textId="3468C75F">
            <w:pPr>
              <w:pStyle w:val="ListParagraph"/>
              <w:numPr>
                <w:ilvl w:val="0"/>
                <w:numId w:val="1"/>
              </w:numPr>
              <w:spacing w:line="480" w:lineRule="auto"/>
              <w:rPr>
                <w:rFonts w:cstheme="minorHAnsi"/>
                <w:sz w:val="24"/>
                <w:szCs w:val="24"/>
              </w:rPr>
            </w:pPr>
            <w:r>
              <w:rPr>
                <w:rFonts w:cstheme="minorHAnsi"/>
                <w:sz w:val="24"/>
                <w:szCs w:val="24"/>
              </w:rPr>
              <w:t>Brief at answering questions</w:t>
            </w:r>
          </w:p>
          <w:p w:rsidR="00207EE7" w:rsidP="00962AAA" w14:paraId="32B545DA" w14:textId="31498E85">
            <w:pPr>
              <w:pStyle w:val="ListParagraph"/>
              <w:numPr>
                <w:ilvl w:val="0"/>
                <w:numId w:val="1"/>
              </w:numPr>
              <w:spacing w:line="480" w:lineRule="auto"/>
              <w:rPr>
                <w:rFonts w:cstheme="minorHAnsi"/>
                <w:sz w:val="24"/>
                <w:szCs w:val="24"/>
              </w:rPr>
            </w:pPr>
            <w:r>
              <w:rPr>
                <w:rFonts w:cstheme="minorHAnsi"/>
                <w:sz w:val="24"/>
                <w:szCs w:val="24"/>
              </w:rPr>
              <w:t>Punctual</w:t>
            </w:r>
          </w:p>
          <w:p w:rsidR="00962AAA" w:rsidP="00962AAA" w14:paraId="76694DD0" w14:textId="0DAD4218">
            <w:pPr>
              <w:pStyle w:val="ListParagraph"/>
              <w:numPr>
                <w:ilvl w:val="0"/>
                <w:numId w:val="1"/>
              </w:numPr>
              <w:spacing w:line="480" w:lineRule="auto"/>
              <w:rPr>
                <w:rFonts w:cstheme="minorHAnsi"/>
                <w:sz w:val="24"/>
                <w:szCs w:val="24"/>
              </w:rPr>
            </w:pPr>
            <w:r>
              <w:rPr>
                <w:rFonts w:cstheme="minorHAnsi"/>
                <w:sz w:val="24"/>
                <w:szCs w:val="24"/>
              </w:rPr>
              <w:t>He is assertive</w:t>
            </w:r>
          </w:p>
          <w:p w:rsidR="00962AAA" w:rsidRPr="00207EE7" w:rsidP="00962AAA" w14:paraId="4ACD4E23" w14:textId="3CBEA789">
            <w:pPr>
              <w:pStyle w:val="ListParagraph"/>
              <w:numPr>
                <w:ilvl w:val="0"/>
                <w:numId w:val="1"/>
              </w:numPr>
              <w:spacing w:line="480" w:lineRule="auto"/>
              <w:rPr>
                <w:rFonts w:cstheme="minorHAnsi"/>
                <w:sz w:val="24"/>
                <w:szCs w:val="24"/>
              </w:rPr>
            </w:pPr>
            <w:r>
              <w:rPr>
                <w:rFonts w:cstheme="minorHAnsi"/>
                <w:sz w:val="24"/>
                <w:szCs w:val="24"/>
              </w:rPr>
              <w:t>Poor listening skills</w:t>
            </w:r>
          </w:p>
          <w:p w:rsidR="00207EE7" w:rsidP="00207EE7" w14:paraId="4563F90E" w14:textId="69B6CFDB">
            <w:pPr>
              <w:ind w:firstLine="0"/>
              <w:rPr>
                <w:rFonts w:cstheme="minorHAnsi"/>
                <w:b/>
                <w:bCs/>
                <w:sz w:val="24"/>
                <w:szCs w:val="24"/>
              </w:rPr>
            </w:pPr>
          </w:p>
        </w:tc>
      </w:tr>
    </w:tbl>
    <w:p w:rsidR="00207EE7" w:rsidP="00207EE7" w14:paraId="504F8D82" w14:textId="792E1539">
      <w:pPr>
        <w:ind w:firstLine="0"/>
        <w:jc w:val="center"/>
        <w:rPr>
          <w:rFonts w:cstheme="minorHAnsi"/>
          <w:b/>
          <w:bCs/>
          <w:sz w:val="24"/>
          <w:szCs w:val="24"/>
        </w:rPr>
      </w:pPr>
    </w:p>
    <w:p w:rsidR="00962AAA" w:rsidP="00207EE7" w14:paraId="77F13679" w14:textId="7BC3A914">
      <w:pPr>
        <w:ind w:firstLine="0"/>
        <w:jc w:val="center"/>
        <w:rPr>
          <w:rFonts w:cstheme="minorHAnsi"/>
          <w:b/>
          <w:bCs/>
          <w:sz w:val="24"/>
          <w:szCs w:val="24"/>
        </w:rPr>
      </w:pPr>
    </w:p>
    <w:p w:rsidR="00962AAA" w:rsidP="00207EE7" w14:paraId="1C3A5E7A" w14:textId="06472BB1">
      <w:pPr>
        <w:ind w:firstLine="0"/>
        <w:jc w:val="center"/>
        <w:rPr>
          <w:rFonts w:cstheme="minorHAnsi"/>
          <w:b/>
          <w:bCs/>
          <w:sz w:val="24"/>
          <w:szCs w:val="24"/>
        </w:rPr>
      </w:pPr>
    </w:p>
    <w:p w:rsidR="00962AAA" w:rsidP="00207EE7" w14:paraId="7363CFB5" w14:textId="57244B9D">
      <w:pPr>
        <w:ind w:firstLine="0"/>
        <w:jc w:val="center"/>
        <w:rPr>
          <w:rFonts w:cstheme="minorHAnsi"/>
          <w:b/>
          <w:bCs/>
          <w:sz w:val="24"/>
          <w:szCs w:val="24"/>
        </w:rPr>
      </w:pPr>
    </w:p>
    <w:p w:rsidR="00962AAA" w:rsidP="00207EE7" w14:paraId="26759F6D" w14:textId="0971E6D4">
      <w:pPr>
        <w:ind w:firstLine="0"/>
        <w:jc w:val="center"/>
        <w:rPr>
          <w:rFonts w:cstheme="minorHAnsi"/>
          <w:b/>
          <w:bCs/>
          <w:sz w:val="24"/>
          <w:szCs w:val="24"/>
        </w:rPr>
      </w:pPr>
    </w:p>
    <w:p w:rsidR="00962AAA" w:rsidP="00207EE7" w14:paraId="71B0F867" w14:textId="2D3679C3">
      <w:pPr>
        <w:ind w:firstLine="0"/>
        <w:jc w:val="center"/>
        <w:rPr>
          <w:rFonts w:cstheme="minorHAnsi"/>
          <w:b/>
          <w:bCs/>
          <w:sz w:val="24"/>
          <w:szCs w:val="24"/>
        </w:rPr>
      </w:pPr>
    </w:p>
    <w:p w:rsidR="00962AAA" w:rsidP="00207EE7" w14:paraId="1DE9E883" w14:textId="3189A5AF">
      <w:pPr>
        <w:ind w:firstLine="0"/>
        <w:jc w:val="center"/>
        <w:rPr>
          <w:rFonts w:cstheme="minorHAnsi"/>
          <w:b/>
          <w:bCs/>
          <w:sz w:val="24"/>
          <w:szCs w:val="24"/>
        </w:rPr>
      </w:pPr>
    </w:p>
    <w:p w:rsidR="00962AAA" w:rsidP="00207EE7" w14:paraId="5B3CFCF5" w14:textId="4DC11EDE">
      <w:pPr>
        <w:ind w:firstLine="0"/>
        <w:jc w:val="center"/>
        <w:rPr>
          <w:rFonts w:cstheme="minorHAnsi"/>
          <w:b/>
          <w:bCs/>
          <w:sz w:val="24"/>
          <w:szCs w:val="24"/>
        </w:rPr>
      </w:pPr>
    </w:p>
    <w:p w:rsidR="00962AAA" w:rsidP="00962AAA" w14:paraId="04C9F8A7" w14:textId="41049A23">
      <w:pPr>
        <w:ind w:firstLine="0"/>
        <w:jc w:val="center"/>
        <w:rPr>
          <w:rFonts w:cstheme="minorHAnsi"/>
          <w:b/>
          <w:bCs/>
          <w:sz w:val="24"/>
          <w:szCs w:val="24"/>
        </w:rPr>
      </w:pPr>
      <w:r>
        <w:rPr>
          <w:rFonts w:cstheme="minorHAnsi"/>
          <w:b/>
          <w:bCs/>
          <w:sz w:val="24"/>
          <w:szCs w:val="24"/>
        </w:rPr>
        <w:t>References</w:t>
      </w:r>
    </w:p>
    <w:p w:rsidR="00962AAA" w:rsidRPr="00AE4083" w:rsidP="00962AAA" w14:paraId="6899F892" w14:textId="5AF60635">
      <w:pPr>
        <w:ind w:firstLine="0"/>
        <w:jc w:val="both"/>
        <w:rPr>
          <w:rFonts w:cstheme="minorHAnsi"/>
          <w:sz w:val="24"/>
          <w:szCs w:val="24"/>
        </w:rPr>
      </w:pPr>
      <w:bookmarkStart w:id="1" w:name="_Hlk70767887"/>
      <w:r w:rsidRPr="00962AAA">
        <w:rPr>
          <w:rFonts w:cstheme="minorHAnsi"/>
          <w:sz w:val="24"/>
          <w:szCs w:val="24"/>
        </w:rPr>
        <w:t>Blandford</w:t>
      </w:r>
      <w:bookmarkEnd w:id="1"/>
      <w:r w:rsidRPr="00962AAA">
        <w:rPr>
          <w:rFonts w:cstheme="minorHAnsi"/>
          <w:sz w:val="24"/>
          <w:szCs w:val="24"/>
        </w:rPr>
        <w:t xml:space="preserve">, A., Wesson, J., </w:t>
      </w:r>
      <w:r w:rsidRPr="00962AAA">
        <w:rPr>
          <w:rFonts w:cstheme="minorHAnsi"/>
          <w:sz w:val="24"/>
          <w:szCs w:val="24"/>
        </w:rPr>
        <w:t>Amalberti</w:t>
      </w:r>
      <w:r w:rsidRPr="00962AAA">
        <w:rPr>
          <w:rFonts w:cstheme="minorHAnsi"/>
          <w:sz w:val="24"/>
          <w:szCs w:val="24"/>
        </w:rPr>
        <w:t xml:space="preserve">, R., </w:t>
      </w:r>
      <w:r w:rsidRPr="00962AAA">
        <w:rPr>
          <w:rFonts w:cstheme="minorHAnsi"/>
          <w:sz w:val="24"/>
          <w:szCs w:val="24"/>
        </w:rPr>
        <w:t>AlHazme</w:t>
      </w:r>
      <w:r w:rsidRPr="00962AAA">
        <w:rPr>
          <w:rFonts w:cstheme="minorHAnsi"/>
          <w:sz w:val="24"/>
          <w:szCs w:val="24"/>
        </w:rPr>
        <w:t xml:space="preserve">, R., &amp; </w:t>
      </w:r>
      <w:r w:rsidRPr="00962AAA">
        <w:rPr>
          <w:rFonts w:cstheme="minorHAnsi"/>
          <w:sz w:val="24"/>
          <w:szCs w:val="24"/>
        </w:rPr>
        <w:t>Allwihan</w:t>
      </w:r>
      <w:r w:rsidRPr="00962AAA">
        <w:rPr>
          <w:rFonts w:cstheme="minorHAnsi"/>
          <w:sz w:val="24"/>
          <w:szCs w:val="24"/>
        </w:rPr>
        <w:t>, R. (2020</w:t>
      </w:r>
      <w:r w:rsidRPr="00962AAA">
        <w:rPr>
          <w:rFonts w:cstheme="minorHAnsi"/>
          <w:i/>
          <w:iCs/>
          <w:sz w:val="24"/>
          <w:szCs w:val="24"/>
        </w:rPr>
        <w:t xml:space="preserve">). </w:t>
      </w:r>
      <w:r w:rsidRPr="00962AAA">
        <w:rPr>
          <w:rFonts w:cstheme="minorHAnsi"/>
          <w:i/>
          <w:iCs/>
          <w:sz w:val="24"/>
          <w:szCs w:val="24"/>
        </w:rPr>
        <w:t xml:space="preserve">Opportunities </w:t>
      </w:r>
      <w:r>
        <w:rPr>
          <w:rFonts w:cstheme="minorHAnsi"/>
          <w:i/>
          <w:iCs/>
          <w:sz w:val="24"/>
          <w:szCs w:val="24"/>
        </w:rPr>
        <w:t>a</w:t>
      </w:r>
      <w:r w:rsidRPr="00962AAA">
        <w:rPr>
          <w:rFonts w:cstheme="minorHAnsi"/>
          <w:i/>
          <w:iCs/>
          <w:sz w:val="24"/>
          <w:szCs w:val="24"/>
        </w:rPr>
        <w:t xml:space="preserve">nd </w:t>
      </w:r>
      <w:r w:rsidR="00AE4083">
        <w:rPr>
          <w:rFonts w:cstheme="minorHAnsi"/>
          <w:i/>
          <w:iCs/>
          <w:sz w:val="24"/>
          <w:szCs w:val="24"/>
        </w:rPr>
        <w:tab/>
      </w:r>
      <w:r w:rsidR="00AE4083">
        <w:rPr>
          <w:rFonts w:cstheme="minorHAnsi"/>
          <w:i/>
          <w:iCs/>
          <w:sz w:val="24"/>
          <w:szCs w:val="24"/>
        </w:rPr>
        <w:tab/>
      </w:r>
      <w:r w:rsidRPr="00962AAA">
        <w:rPr>
          <w:rFonts w:cstheme="minorHAnsi"/>
          <w:i/>
          <w:iCs/>
          <w:sz w:val="24"/>
          <w:szCs w:val="24"/>
        </w:rPr>
        <w:t xml:space="preserve">Challenges </w:t>
      </w:r>
      <w:r w:rsidR="00AE4083">
        <w:rPr>
          <w:rFonts w:cstheme="minorHAnsi"/>
          <w:i/>
          <w:iCs/>
          <w:sz w:val="24"/>
          <w:szCs w:val="24"/>
        </w:rPr>
        <w:t>f</w:t>
      </w:r>
      <w:r w:rsidRPr="00962AAA">
        <w:rPr>
          <w:rFonts w:cstheme="minorHAnsi"/>
          <w:i/>
          <w:iCs/>
          <w:sz w:val="24"/>
          <w:szCs w:val="24"/>
        </w:rPr>
        <w:t xml:space="preserve">or Telehealth Within, </w:t>
      </w:r>
      <w:r w:rsidR="00AE4083">
        <w:rPr>
          <w:rFonts w:cstheme="minorHAnsi"/>
          <w:i/>
          <w:iCs/>
          <w:sz w:val="24"/>
          <w:szCs w:val="24"/>
        </w:rPr>
        <w:t>a</w:t>
      </w:r>
      <w:r w:rsidRPr="00962AAA">
        <w:rPr>
          <w:rFonts w:cstheme="minorHAnsi"/>
          <w:i/>
          <w:iCs/>
          <w:sz w:val="24"/>
          <w:szCs w:val="24"/>
        </w:rPr>
        <w:t>nd Beyond, A Pandemic</w:t>
      </w:r>
      <w:r w:rsidRPr="00AE4083">
        <w:rPr>
          <w:rFonts w:cstheme="minorHAnsi"/>
          <w:sz w:val="24"/>
          <w:szCs w:val="24"/>
        </w:rPr>
        <w:t xml:space="preserve">. The Lancet Global </w:t>
      </w:r>
      <w:r w:rsidR="00AE4083">
        <w:rPr>
          <w:rFonts w:cstheme="minorHAnsi"/>
          <w:sz w:val="24"/>
          <w:szCs w:val="24"/>
        </w:rPr>
        <w:tab/>
      </w:r>
      <w:r w:rsidRPr="00AE4083">
        <w:rPr>
          <w:rFonts w:cstheme="minorHAnsi"/>
          <w:sz w:val="24"/>
          <w:szCs w:val="24"/>
        </w:rPr>
        <w:t>Health, 8(11), e1364-e1365.</w:t>
      </w:r>
    </w:p>
    <w:p w:rsidR="00962AAA" w:rsidRPr="00962AAA" w:rsidP="00962AAA" w14:paraId="00FF48D4" w14:textId="245DA93B">
      <w:pPr>
        <w:ind w:firstLine="0"/>
        <w:jc w:val="both"/>
        <w:rPr>
          <w:rFonts w:cstheme="minorHAnsi"/>
          <w:sz w:val="24"/>
          <w:szCs w:val="24"/>
        </w:rPr>
      </w:pPr>
      <w:bookmarkStart w:id="2" w:name="_Hlk70767963"/>
      <w:r w:rsidRPr="00962AAA">
        <w:rPr>
          <w:rFonts w:cstheme="minorHAnsi"/>
          <w:sz w:val="24"/>
          <w:szCs w:val="24"/>
        </w:rPr>
        <w:t>Steel</w:t>
      </w:r>
      <w:bookmarkEnd w:id="2"/>
      <w:r w:rsidRPr="00962AAA">
        <w:rPr>
          <w:rFonts w:cstheme="minorHAnsi"/>
          <w:sz w:val="24"/>
          <w:szCs w:val="24"/>
        </w:rPr>
        <w:t xml:space="preserve">, N., Ford, J. A., Newton, J. N., Davis, A. C., Vos, T., </w:t>
      </w:r>
      <w:r w:rsidRPr="00962AAA">
        <w:rPr>
          <w:rFonts w:cstheme="minorHAnsi"/>
          <w:sz w:val="24"/>
          <w:szCs w:val="24"/>
        </w:rPr>
        <w:t>Naghavi</w:t>
      </w:r>
      <w:r w:rsidRPr="00962AAA">
        <w:rPr>
          <w:rFonts w:cstheme="minorHAnsi"/>
          <w:sz w:val="24"/>
          <w:szCs w:val="24"/>
        </w:rPr>
        <w:t xml:space="preserve">, M., ... &amp; Murray, C. J. (2018). </w:t>
      </w:r>
      <w:r>
        <w:rPr>
          <w:rFonts w:cstheme="minorHAnsi"/>
          <w:sz w:val="24"/>
          <w:szCs w:val="24"/>
        </w:rPr>
        <w:tab/>
      </w:r>
      <w:r w:rsidRPr="00962AAA">
        <w:rPr>
          <w:rFonts w:cstheme="minorHAnsi"/>
          <w:i/>
          <w:iCs/>
          <w:sz w:val="24"/>
          <w:szCs w:val="24"/>
        </w:rPr>
        <w:t xml:space="preserve">Changes </w:t>
      </w:r>
      <w:r>
        <w:rPr>
          <w:rFonts w:cstheme="minorHAnsi"/>
          <w:i/>
          <w:iCs/>
          <w:sz w:val="24"/>
          <w:szCs w:val="24"/>
        </w:rPr>
        <w:t>i</w:t>
      </w:r>
      <w:r w:rsidRPr="00962AAA">
        <w:rPr>
          <w:rFonts w:cstheme="minorHAnsi"/>
          <w:i/>
          <w:iCs/>
          <w:sz w:val="24"/>
          <w:szCs w:val="24"/>
        </w:rPr>
        <w:t xml:space="preserve">n Health </w:t>
      </w:r>
      <w:r>
        <w:rPr>
          <w:rFonts w:cstheme="minorHAnsi"/>
          <w:i/>
          <w:iCs/>
          <w:sz w:val="24"/>
          <w:szCs w:val="24"/>
        </w:rPr>
        <w:t>i</w:t>
      </w:r>
      <w:r w:rsidRPr="00962AAA">
        <w:rPr>
          <w:rFonts w:cstheme="minorHAnsi"/>
          <w:i/>
          <w:iCs/>
          <w:sz w:val="24"/>
          <w:szCs w:val="24"/>
        </w:rPr>
        <w:t xml:space="preserve">n </w:t>
      </w:r>
      <w:r>
        <w:rPr>
          <w:rFonts w:cstheme="minorHAnsi"/>
          <w:i/>
          <w:iCs/>
          <w:sz w:val="24"/>
          <w:szCs w:val="24"/>
        </w:rPr>
        <w:t>t</w:t>
      </w:r>
      <w:r w:rsidRPr="00962AAA">
        <w:rPr>
          <w:rFonts w:cstheme="minorHAnsi"/>
          <w:i/>
          <w:iCs/>
          <w:sz w:val="24"/>
          <w:szCs w:val="24"/>
        </w:rPr>
        <w:t xml:space="preserve">he Countries </w:t>
      </w:r>
      <w:r>
        <w:rPr>
          <w:rFonts w:cstheme="minorHAnsi"/>
          <w:i/>
          <w:iCs/>
          <w:sz w:val="24"/>
          <w:szCs w:val="24"/>
        </w:rPr>
        <w:t>o</w:t>
      </w:r>
      <w:r w:rsidRPr="00962AAA">
        <w:rPr>
          <w:rFonts w:cstheme="minorHAnsi"/>
          <w:i/>
          <w:iCs/>
          <w:sz w:val="24"/>
          <w:szCs w:val="24"/>
        </w:rPr>
        <w:t xml:space="preserve">f </w:t>
      </w:r>
      <w:r>
        <w:rPr>
          <w:rFonts w:cstheme="minorHAnsi"/>
          <w:i/>
          <w:iCs/>
          <w:sz w:val="24"/>
          <w:szCs w:val="24"/>
        </w:rPr>
        <w:t>t</w:t>
      </w:r>
      <w:r w:rsidRPr="00962AAA">
        <w:rPr>
          <w:rFonts w:cstheme="minorHAnsi"/>
          <w:i/>
          <w:iCs/>
          <w:sz w:val="24"/>
          <w:szCs w:val="24"/>
        </w:rPr>
        <w:t xml:space="preserve">he </w:t>
      </w:r>
      <w:r w:rsidRPr="00962AAA">
        <w:rPr>
          <w:rFonts w:cstheme="minorHAnsi"/>
          <w:i/>
          <w:iCs/>
          <w:sz w:val="24"/>
          <w:szCs w:val="24"/>
        </w:rPr>
        <w:t xml:space="preserve">UK </w:t>
      </w:r>
      <w:r>
        <w:rPr>
          <w:rFonts w:cstheme="minorHAnsi"/>
          <w:i/>
          <w:iCs/>
          <w:sz w:val="24"/>
          <w:szCs w:val="24"/>
        </w:rPr>
        <w:t>a</w:t>
      </w:r>
      <w:r w:rsidRPr="00962AAA">
        <w:rPr>
          <w:rFonts w:cstheme="minorHAnsi"/>
          <w:i/>
          <w:iCs/>
          <w:sz w:val="24"/>
          <w:szCs w:val="24"/>
        </w:rPr>
        <w:t xml:space="preserve">nd 150 </w:t>
      </w:r>
      <w:r w:rsidRPr="00962AAA">
        <w:rPr>
          <w:rFonts w:cstheme="minorHAnsi"/>
          <w:i/>
          <w:iCs/>
          <w:sz w:val="24"/>
          <w:szCs w:val="24"/>
        </w:rPr>
        <w:t xml:space="preserve">English Local Authority </w:t>
      </w:r>
      <w:r w:rsidRPr="00962AAA">
        <w:rPr>
          <w:rFonts w:cstheme="minorHAnsi"/>
          <w:i/>
          <w:iCs/>
          <w:sz w:val="24"/>
          <w:szCs w:val="24"/>
        </w:rPr>
        <w:t>Areas 1990–</w:t>
      </w:r>
      <w:r>
        <w:rPr>
          <w:rFonts w:cstheme="minorHAnsi"/>
          <w:i/>
          <w:iCs/>
          <w:sz w:val="24"/>
          <w:szCs w:val="24"/>
        </w:rPr>
        <w:tab/>
      </w:r>
      <w:r w:rsidRPr="00962AAA">
        <w:rPr>
          <w:rFonts w:cstheme="minorHAnsi"/>
          <w:i/>
          <w:iCs/>
          <w:sz w:val="24"/>
          <w:szCs w:val="24"/>
        </w:rPr>
        <w:t xml:space="preserve">2016: A Systematic Analysis </w:t>
      </w:r>
      <w:r>
        <w:rPr>
          <w:rFonts w:cstheme="minorHAnsi"/>
          <w:i/>
          <w:iCs/>
          <w:sz w:val="24"/>
          <w:szCs w:val="24"/>
        </w:rPr>
        <w:t>f</w:t>
      </w:r>
      <w:r w:rsidRPr="00962AAA">
        <w:rPr>
          <w:rFonts w:cstheme="minorHAnsi"/>
          <w:i/>
          <w:iCs/>
          <w:sz w:val="24"/>
          <w:szCs w:val="24"/>
        </w:rPr>
        <w:t xml:space="preserve">or </w:t>
      </w:r>
      <w:r>
        <w:rPr>
          <w:rFonts w:cstheme="minorHAnsi"/>
          <w:i/>
          <w:iCs/>
          <w:sz w:val="24"/>
          <w:szCs w:val="24"/>
        </w:rPr>
        <w:t>t</w:t>
      </w:r>
      <w:r w:rsidRPr="00962AAA">
        <w:rPr>
          <w:rFonts w:cstheme="minorHAnsi"/>
          <w:i/>
          <w:iCs/>
          <w:sz w:val="24"/>
          <w:szCs w:val="24"/>
        </w:rPr>
        <w:t xml:space="preserve">he </w:t>
      </w:r>
      <w:r w:rsidRPr="00962AAA">
        <w:rPr>
          <w:rFonts w:cstheme="minorHAnsi"/>
          <w:i/>
          <w:iCs/>
          <w:sz w:val="24"/>
          <w:szCs w:val="24"/>
        </w:rPr>
        <w:t xml:space="preserve">Global Burden </w:t>
      </w:r>
      <w:r>
        <w:rPr>
          <w:rFonts w:cstheme="minorHAnsi"/>
          <w:i/>
          <w:iCs/>
          <w:sz w:val="24"/>
          <w:szCs w:val="24"/>
        </w:rPr>
        <w:t>o</w:t>
      </w:r>
      <w:r w:rsidRPr="00962AAA">
        <w:rPr>
          <w:rFonts w:cstheme="minorHAnsi"/>
          <w:i/>
          <w:iCs/>
          <w:sz w:val="24"/>
          <w:szCs w:val="24"/>
        </w:rPr>
        <w:t xml:space="preserve">f </w:t>
      </w:r>
      <w:r w:rsidRPr="00962AAA">
        <w:rPr>
          <w:rFonts w:cstheme="minorHAnsi"/>
          <w:i/>
          <w:iCs/>
          <w:sz w:val="24"/>
          <w:szCs w:val="24"/>
        </w:rPr>
        <w:t xml:space="preserve">Disease Study </w:t>
      </w:r>
      <w:r w:rsidRPr="00962AAA">
        <w:rPr>
          <w:rFonts w:cstheme="minorHAnsi"/>
          <w:i/>
          <w:iCs/>
          <w:sz w:val="24"/>
          <w:szCs w:val="24"/>
        </w:rPr>
        <w:t>2016</w:t>
      </w:r>
      <w:r w:rsidRPr="00962AAA">
        <w:rPr>
          <w:rFonts w:cstheme="minorHAnsi"/>
          <w:sz w:val="24"/>
          <w:szCs w:val="24"/>
        </w:rPr>
        <w:t>. The</w:t>
      </w:r>
      <w:r>
        <w:rPr>
          <w:rFonts w:cstheme="minorHAnsi"/>
          <w:sz w:val="24"/>
          <w:szCs w:val="24"/>
        </w:rPr>
        <w:tab/>
      </w:r>
      <w:r>
        <w:rPr>
          <w:rFonts w:cstheme="minorHAnsi"/>
          <w:sz w:val="24"/>
          <w:szCs w:val="24"/>
        </w:rPr>
        <w:tab/>
      </w:r>
      <w:r>
        <w:rPr>
          <w:rFonts w:cstheme="minorHAnsi"/>
          <w:sz w:val="24"/>
          <w:szCs w:val="24"/>
        </w:rPr>
        <w:tab/>
      </w:r>
      <w:r w:rsidRPr="00962AAA">
        <w:rPr>
          <w:rFonts w:cstheme="minorHAnsi"/>
          <w:sz w:val="24"/>
          <w:szCs w:val="24"/>
        </w:rPr>
        <w:t xml:space="preserve"> Lancet, 392(10158), 1647-1661.</w:t>
      </w:r>
    </w:p>
    <w:sectPr w:rsidSect="00A449DA">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9DA" w:rsidRPr="009746F8" w:rsidP="00A449DA" w14:paraId="599F61CB" w14:textId="35639758">
    <w:pPr>
      <w:pStyle w:val="Header"/>
      <w:ind w:firstLine="0"/>
      <w:rPr>
        <w:rFonts w:cstheme="minorHAnsi"/>
        <w:sz w:val="24"/>
        <w:szCs w:val="24"/>
      </w:rPr>
    </w:pPr>
    <w:r w:rsidRPr="009746F8">
      <w:rPr>
        <w:rFonts w:cstheme="minorHAnsi"/>
        <w:sz w:val="24"/>
        <w:szCs w:val="24"/>
      </w:rPr>
      <w:t>PUBLIC HEALTH</w:t>
    </w:r>
    <w:sdt>
      <w:sdtPr>
        <w:rPr>
          <w:rFonts w:cstheme="minorHAnsi"/>
          <w:sz w:val="24"/>
          <w:szCs w:val="24"/>
        </w:rPr>
        <w:id w:val="-1262764151"/>
        <w:docPartObj>
          <w:docPartGallery w:val="Page Numbers (Top of Page)"/>
          <w:docPartUnique/>
        </w:docPartObj>
      </w:sdtPr>
      <w:sdtEndPr>
        <w:rPr>
          <w:noProof/>
        </w:rPr>
      </w:sdtEndPr>
      <w:sdtContent>
        <w:r w:rsidRPr="009746F8">
          <w:rPr>
            <w:rFonts w:cstheme="minorHAnsi"/>
            <w:sz w:val="24"/>
            <w:szCs w:val="24"/>
          </w:rPr>
          <w:t xml:space="preserve">   </w:t>
        </w:r>
        <w:r w:rsidR="009746F8">
          <w:rPr>
            <w:rFonts w:cstheme="minorHAnsi"/>
            <w:sz w:val="24"/>
            <w:szCs w:val="24"/>
          </w:rPr>
          <w:t xml:space="preserve">                    </w:t>
        </w:r>
        <w:r w:rsidRPr="009746F8">
          <w:rPr>
            <w:rFonts w:cstheme="minorHAnsi"/>
            <w:sz w:val="24"/>
            <w:szCs w:val="24"/>
          </w:rPr>
          <w:t xml:space="preserve">                                                                                                                       </w:t>
        </w:r>
        <w:r w:rsidRPr="009746F8">
          <w:rPr>
            <w:rFonts w:cstheme="minorHAnsi"/>
            <w:sz w:val="24"/>
            <w:szCs w:val="24"/>
          </w:rPr>
          <w:fldChar w:fldCharType="begin"/>
        </w:r>
        <w:r w:rsidRPr="009746F8">
          <w:rPr>
            <w:rFonts w:cstheme="minorHAnsi"/>
            <w:sz w:val="24"/>
            <w:szCs w:val="24"/>
          </w:rPr>
          <w:instrText xml:space="preserve"> PAGE   \* MERGEFORMAT </w:instrText>
        </w:r>
        <w:r w:rsidRPr="009746F8">
          <w:rPr>
            <w:rFonts w:cstheme="minorHAnsi"/>
            <w:sz w:val="24"/>
            <w:szCs w:val="24"/>
          </w:rPr>
          <w:fldChar w:fldCharType="separate"/>
        </w:r>
        <w:r w:rsidRPr="009746F8">
          <w:rPr>
            <w:rFonts w:cstheme="minorHAnsi"/>
            <w:noProof/>
            <w:sz w:val="24"/>
            <w:szCs w:val="24"/>
          </w:rPr>
          <w:t>2</w:t>
        </w:r>
        <w:r w:rsidRPr="009746F8">
          <w:rPr>
            <w:rFonts w:cstheme="minorHAnsi"/>
            <w:noProof/>
            <w:sz w:val="24"/>
            <w:szCs w:val="24"/>
          </w:rPr>
          <w:fldChar w:fldCharType="end"/>
        </w:r>
      </w:sdtContent>
    </w:sdt>
  </w:p>
  <w:p w:rsidR="00A449DA" w:rsidRPr="009746F8" w:rsidP="00A449DA" w14:paraId="60008478" w14:textId="77777777">
    <w:pPr>
      <w:pStyle w:val="Header"/>
      <w:ind w:firstLine="0"/>
      <w:rPr>
        <w:rFonts w:cstheme="minorHAns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theme="minorHAnsi"/>
        <w:sz w:val="24"/>
        <w:szCs w:val="24"/>
      </w:rPr>
      <w:id w:val="568458134"/>
      <w:docPartObj>
        <w:docPartGallery w:val="Page Numbers (Top of Page)"/>
        <w:docPartUnique/>
      </w:docPartObj>
    </w:sdtPr>
    <w:sdtEndPr>
      <w:rPr>
        <w:noProof/>
      </w:rPr>
    </w:sdtEndPr>
    <w:sdtContent>
      <w:p w:rsidR="00A449DA" w:rsidRPr="009746F8" w:rsidP="00A449DA" w14:paraId="2470EACE" w14:textId="540C505B">
        <w:pPr>
          <w:pStyle w:val="Header"/>
          <w:ind w:firstLine="0"/>
          <w:rPr>
            <w:rFonts w:cstheme="minorHAnsi"/>
            <w:sz w:val="24"/>
            <w:szCs w:val="24"/>
          </w:rPr>
        </w:pPr>
        <w:r w:rsidRPr="009746F8">
          <w:rPr>
            <w:rFonts w:cstheme="minorHAnsi"/>
            <w:sz w:val="24"/>
            <w:szCs w:val="24"/>
          </w:rPr>
          <w:t xml:space="preserve">Running head: PUBLIC HEALTH     </w:t>
        </w:r>
        <w:r w:rsidR="009746F8">
          <w:rPr>
            <w:rFonts w:cstheme="minorHAnsi"/>
            <w:sz w:val="24"/>
            <w:szCs w:val="24"/>
          </w:rPr>
          <w:t xml:space="preserve">                 </w:t>
        </w:r>
        <w:r w:rsidRPr="009746F8">
          <w:rPr>
            <w:rFonts w:cstheme="minorHAnsi"/>
            <w:sz w:val="24"/>
            <w:szCs w:val="24"/>
          </w:rPr>
          <w:t xml:space="preserve">                                                                                             </w:t>
        </w:r>
        <w:r w:rsidRPr="009746F8">
          <w:rPr>
            <w:rFonts w:cstheme="minorHAnsi"/>
            <w:sz w:val="24"/>
            <w:szCs w:val="24"/>
          </w:rPr>
          <w:fldChar w:fldCharType="begin"/>
        </w:r>
        <w:r w:rsidRPr="009746F8">
          <w:rPr>
            <w:rFonts w:cstheme="minorHAnsi"/>
            <w:sz w:val="24"/>
            <w:szCs w:val="24"/>
          </w:rPr>
          <w:instrText xml:space="preserve"> PAGE   \* MERGEFORMAT </w:instrText>
        </w:r>
        <w:r w:rsidRPr="009746F8">
          <w:rPr>
            <w:rFonts w:cstheme="minorHAnsi"/>
            <w:sz w:val="24"/>
            <w:szCs w:val="24"/>
          </w:rPr>
          <w:fldChar w:fldCharType="separate"/>
        </w:r>
        <w:r w:rsidRPr="009746F8">
          <w:rPr>
            <w:rFonts w:cstheme="minorHAnsi"/>
            <w:noProof/>
            <w:sz w:val="24"/>
            <w:szCs w:val="24"/>
          </w:rPr>
          <w:t>2</w:t>
        </w:r>
        <w:r w:rsidRPr="009746F8">
          <w:rPr>
            <w:rFonts w:cstheme="minorHAnsi"/>
            <w:noProof/>
            <w:sz w:val="24"/>
            <w:szCs w:val="24"/>
          </w:rPr>
          <w:fldChar w:fldCharType="end"/>
        </w:r>
      </w:p>
    </w:sdtContent>
  </w:sdt>
  <w:p w:rsidR="00A449DA" w:rsidRPr="009746F8" w14:paraId="5161515D" w14:textId="77777777">
    <w:pPr>
      <w:pStyle w:val="Header"/>
      <w:rPr>
        <w:rFont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57D5CFA"/>
    <w:multiLevelType w:val="hybridMultilevel"/>
    <w:tmpl w:val="A3207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DA"/>
    <w:rsid w:val="001443CD"/>
    <w:rsid w:val="00193366"/>
    <w:rsid w:val="00207EE7"/>
    <w:rsid w:val="00264FA4"/>
    <w:rsid w:val="003C5D85"/>
    <w:rsid w:val="00412F08"/>
    <w:rsid w:val="00477992"/>
    <w:rsid w:val="0048488E"/>
    <w:rsid w:val="00526721"/>
    <w:rsid w:val="006C5995"/>
    <w:rsid w:val="0073509E"/>
    <w:rsid w:val="007A2031"/>
    <w:rsid w:val="007D2B97"/>
    <w:rsid w:val="0088268B"/>
    <w:rsid w:val="00921C56"/>
    <w:rsid w:val="00962AAA"/>
    <w:rsid w:val="009746F8"/>
    <w:rsid w:val="00A01D3F"/>
    <w:rsid w:val="00A449DA"/>
    <w:rsid w:val="00AE4083"/>
    <w:rsid w:val="00B9010C"/>
    <w:rsid w:val="00BE5BE7"/>
    <w:rsid w:val="00BF283D"/>
    <w:rsid w:val="00C24D3F"/>
    <w:rsid w:val="00F737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616D7"/>
  <w15:chartTrackingRefBased/>
  <w15:docId w15:val="{4D64493E-18A0-4BD1-AC7D-74A050A4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9DA"/>
  </w:style>
  <w:style w:type="paragraph" w:styleId="Footer">
    <w:name w:val="footer"/>
    <w:basedOn w:val="Normal"/>
    <w:link w:val="FooterChar"/>
    <w:uiPriority w:val="99"/>
    <w:unhideWhenUsed/>
    <w:rsid w:val="00A4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DA"/>
  </w:style>
  <w:style w:type="table" w:styleId="TableGrid">
    <w:name w:val="Table Grid"/>
    <w:basedOn w:val="TableNormal"/>
    <w:uiPriority w:val="39"/>
    <w:rsid w:val="00207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2021-05-01T05:54:00Z</dcterms:created>
  <dcterms:modified xsi:type="dcterms:W3CDTF">2021-05-01T10:27:00Z</dcterms:modified>
</cp:coreProperties>
</file>